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600"/>
        <w:spacing w:before="155" w:line="167" w:lineRule="auto"/>
        <w:outlineLvl w:val="0"/>
        <w:rPr>
          <w:rFonts w:ascii="SimSun" w:hAnsi="SimSun" w:eastAsia="SimSun" w:cs="SimSun"/>
          <w:sz w:val="77"/>
          <w:szCs w:val="77"/>
        </w:rPr>
      </w:pPr>
      <w:r>
        <w:pict>
          <v:shape id="_x0000_s2" style="position:absolute;margin-left:134.279pt;margin-top:62.5115pt;mso-position-vertical-relative:page;mso-position-horizontal-relative:page;width:36.3pt;height:88.4pt;z-index:251659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19" w:line="181" w:lineRule="auto"/>
                    <w:rPr>
                      <w:rFonts w:ascii="SimSun" w:hAnsi="SimSun" w:eastAsia="SimSun" w:cs="SimSun"/>
                      <w:sz w:val="48"/>
                      <w:szCs w:val="48"/>
                    </w:rPr>
                  </w:pPr>
                  <w:r>
                    <w:rPr>
                      <w:rFonts w:ascii="SimSun" w:hAnsi="SimSun" w:eastAsia="SimSun" w:cs="SimSun"/>
                      <w:sz w:val="68"/>
                      <w:szCs w:val="68"/>
                      <w:b/>
                      <w:bCs/>
                      <w:color w:val="E90F00"/>
                      <w:spacing w:val="-13"/>
                      <w:position w:val="1"/>
                    </w:rPr>
                    <w:t>乌</w:t>
                  </w:r>
                  <w:r>
                    <w:rPr>
                      <w:rFonts w:ascii="SimSun" w:hAnsi="SimSun" w:eastAsia="SimSun" w:cs="SimSun"/>
                      <w:sz w:val="48"/>
                      <w:szCs w:val="48"/>
                      <w:color w:val="FF2A00"/>
                      <w:spacing w:val="-13"/>
                      <w:position w:val="-1"/>
                    </w:rPr>
                    <w:t>贰</w:t>
                  </w:r>
                  <w:r>
                    <w:rPr>
                      <w:rFonts w:ascii="SimSun" w:hAnsi="SimSun" w:eastAsia="SimSun" w:cs="SimSun"/>
                      <w:sz w:val="48"/>
                      <w:szCs w:val="48"/>
                      <w:color w:val="FF2A00"/>
                      <w:spacing w:val="-122"/>
                      <w:position w:val="-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48"/>
                      <w:szCs w:val="48"/>
                      <w:color w:val="FF2A00"/>
                      <w:spacing w:val="-13"/>
                      <w:position w:val="-1"/>
                    </w:rPr>
                    <w:t>迎</w:t>
                  </w:r>
                </w:p>
              </w:txbxContent>
            </v:textbox>
          </v:shape>
        </w:pict>
      </w:r>
      <w:r>
        <w:pict>
          <v:shape id="_x0000_s4" style="position:absolute;margin-left:32.4985pt;margin-top:38.525pt;mso-position-vertical-relative:text;mso-position-horizontal-relative:text;width:32.45pt;height:44.65pt;z-index:251660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19" w:line="186" w:lineRule="auto"/>
                    <w:jc w:val="right"/>
                    <w:rPr>
                      <w:rFonts w:ascii="FZYaoTi" w:hAnsi="FZYaoTi" w:eastAsia="FZYaoTi" w:cs="FZYaoTi"/>
                      <w:sz w:val="75"/>
                      <w:szCs w:val="75"/>
                    </w:rPr>
                  </w:pPr>
                  <w:r>
                    <w:rPr>
                      <w:rFonts w:ascii="FZYaoTi" w:hAnsi="FZYaoTi" w:eastAsia="FZYaoTi" w:cs="FZYaoTi"/>
                      <w:sz w:val="75"/>
                      <w:szCs w:val="75"/>
                      <w:color w:val="E51600"/>
                      <w:spacing w:val="-142"/>
                    </w:rPr>
                    <w:t>西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77"/>
          <w:szCs w:val="77"/>
          <w:b/>
          <w:bCs/>
          <w:color w:val="E80F00"/>
          <w:spacing w:val="161"/>
        </w:rPr>
        <w:t>珠穆沁旗财政局</w:t>
      </w:r>
    </w:p>
    <w:p>
      <w:pPr>
        <w:pStyle w:val="BodyText"/>
        <w:spacing w:line="2308" w:lineRule="exact"/>
        <w:rPr/>
      </w:pPr>
      <w:r>
        <w:pict>
          <v:shape id="_x0000_s6" style="position:absolute;margin-left:136.998pt;margin-top:6.08643pt;mso-position-vertical-relative:text;mso-position-horizontal-relative:text;width:225.7pt;height:43.65pt;z-index:-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18" w:line="224" w:lineRule="auto"/>
                    <w:jc w:val="right"/>
                    <w:rPr>
                      <w:rFonts w:ascii="STXinwei" w:hAnsi="STXinwei" w:eastAsia="STXinwei" w:cs="STXinwei"/>
                      <w:sz w:val="65"/>
                      <w:szCs w:val="65"/>
                    </w:rPr>
                  </w:pPr>
                  <w:r>
                    <w:rPr>
                      <w:rFonts w:ascii="FZYaoTi" w:hAnsi="FZYaoTi" w:eastAsia="FZYaoTi" w:cs="FZYaoTi"/>
                      <w:sz w:val="53"/>
                      <w:szCs w:val="53"/>
                      <w:color w:val="A41500"/>
                      <w:spacing w:val="-39"/>
                      <w:position w:val="-8"/>
                    </w:rPr>
                    <w:t>蓬             </w:t>
                  </w:r>
                  <w:r>
                    <w:rPr>
                      <w:rFonts w:ascii="STXinwei" w:hAnsi="STXinwei" w:eastAsia="STXinwei" w:cs="STXinwei"/>
                      <w:sz w:val="65"/>
                      <w:szCs w:val="65"/>
                      <w:b/>
                      <w:bCs/>
                      <w:color w:val="AA1000"/>
                      <w:spacing w:val="-39"/>
                      <w:position w:val="4"/>
                    </w:rPr>
                    <w:t>可</w:t>
                  </w:r>
                  <w:r>
                    <w:rPr>
                      <w:rFonts w:ascii="STXinwei" w:hAnsi="STXinwei" w:eastAsia="STXinwei" w:cs="STXinwei"/>
                      <w:sz w:val="65"/>
                      <w:szCs w:val="65"/>
                      <w:color w:val="AA1000"/>
                      <w:spacing w:val="11"/>
                      <w:position w:val="4"/>
                    </w:rPr>
                    <w:t xml:space="preserve">         </w:t>
                  </w:r>
                  <w:r>
                    <w:rPr>
                      <w:rFonts w:ascii="STXinwei" w:hAnsi="STXinwei" w:eastAsia="STXinwei" w:cs="STXinwei"/>
                      <w:sz w:val="65"/>
                      <w:szCs w:val="65"/>
                      <w:b/>
                      <w:bCs/>
                      <w:color w:val="AA1000"/>
                      <w:spacing w:val="-39"/>
                      <w:position w:val="4"/>
                    </w:rPr>
                    <w:t>量</w:t>
                  </w:r>
                </w:p>
              </w:txbxContent>
            </v:textbox>
          </v:shape>
        </w:pict>
      </w:r>
      <w:r>
        <w:rPr>
          <w:position w:val="-46"/>
        </w:rPr>
        <w:pict>
          <v:group id="_x0000_s8" style="mso-position-vertical-relative:line;mso-position-horizontal-relative:char;width:482.5pt;height:115.45pt;" filled="false" stroked="false" coordsize="9650,2308" coordorigin="0,0">
            <v:shape id="_x0000_s10" style="position:absolute;left:0;top:-71;width:9650;height:2380;" filled="false" stroked="false" type="#_x0000_t75">
              <v:imagedata o:title="" r:id="rId2"/>
            </v:shape>
            <v:shape id="_x0000_s12" style="position:absolute;left:-20;top:-91;width:9690;height:24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7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7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7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7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7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6049"/>
                      <w:spacing w:before="104" w:line="223" w:lineRule="auto"/>
                      <w:rPr>
                        <w:rFonts w:ascii="FangSong" w:hAnsi="FangSong" w:eastAsia="FangSong" w:cs="FangSong"/>
                        <w:sz w:val="32"/>
                        <w:szCs w:val="32"/>
                      </w:rPr>
                    </w:pPr>
                    <w:r>
                      <w:rPr>
                        <w:rFonts w:ascii="FangSong" w:hAnsi="FangSong" w:eastAsia="FangSong" w:cs="FangSong"/>
                        <w:sz w:val="32"/>
                        <w:szCs w:val="32"/>
                        <w:spacing w:val="3"/>
                      </w:rPr>
                      <w:t>西财农函〔2025〕2号</w:t>
                    </w:r>
                  </w:p>
                </w:txbxContent>
              </v:textbox>
            </v:shape>
          </v:group>
        </w:pict>
      </w:r>
    </w:p>
    <w:p>
      <w:pPr>
        <w:ind w:left="1336"/>
        <w:spacing w:before="212" w:line="219" w:lineRule="auto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sz w:val="47"/>
          <w:szCs w:val="47"/>
          <w:b/>
          <w:bCs/>
          <w:spacing w:val="-16"/>
        </w:rPr>
        <w:t>西乌珠穆沁旗财政局关于下达2025年</w:t>
      </w:r>
    </w:p>
    <w:p>
      <w:pPr>
        <w:ind w:left="2166"/>
        <w:spacing w:before="9" w:line="219" w:lineRule="auto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sz w:val="47"/>
          <w:szCs w:val="47"/>
          <w:b/>
          <w:bCs/>
          <w:spacing w:val="-30"/>
        </w:rPr>
        <w:t>自治区财政衔接推进乡村振兴</w:t>
      </w:r>
    </w:p>
    <w:p>
      <w:pPr>
        <w:ind w:left="3036"/>
        <w:spacing w:before="16" w:line="219" w:lineRule="auto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sz w:val="47"/>
          <w:szCs w:val="47"/>
          <w:b/>
          <w:bCs/>
          <w:spacing w:val="-27"/>
        </w:rPr>
        <w:t>补助资金预算的通知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764"/>
        <w:spacing w:before="114" w:line="222" w:lineRule="auto"/>
        <w:rPr/>
      </w:pPr>
      <w:r>
        <w:rPr>
          <w:b/>
          <w:bCs/>
          <w:spacing w:val="-24"/>
        </w:rPr>
        <w:t>旗水利局：</w:t>
      </w:r>
    </w:p>
    <w:p>
      <w:pPr>
        <w:pStyle w:val="BodyText"/>
        <w:ind w:left="759" w:right="1174" w:firstLine="840"/>
        <w:spacing w:before="188" w:line="306" w:lineRule="auto"/>
        <w:rPr/>
      </w:pPr>
      <w:r>
        <w:rPr>
          <w:spacing w:val="-14"/>
        </w:rPr>
        <w:t>根据《锡林郭勒盟财政局关于下达2025年自治区财政</w:t>
      </w:r>
      <w:r>
        <w:rPr>
          <w:spacing w:val="3"/>
        </w:rPr>
        <w:t xml:space="preserve"> </w:t>
      </w:r>
      <w:r>
        <w:rPr>
          <w:spacing w:val="-8"/>
        </w:rPr>
        <w:t>衔接推进乡村振兴补助资金预算的通知》(锡财</w:t>
      </w:r>
      <w:r>
        <w:rPr>
          <w:spacing w:val="-9"/>
        </w:rPr>
        <w:t>农〔2025〕</w:t>
      </w:r>
      <w:r>
        <w:rPr/>
        <w:t xml:space="preserve"> </w:t>
      </w:r>
      <w:r>
        <w:rPr>
          <w:spacing w:val="-12"/>
        </w:rPr>
        <w:t>70号)、要求，现下达你地2025年自治区财政衔接推进乡村</w:t>
      </w:r>
      <w:r>
        <w:rPr>
          <w:spacing w:val="4"/>
        </w:rPr>
        <w:t xml:space="preserve"> </w:t>
      </w:r>
      <w:r>
        <w:rPr>
          <w:spacing w:val="-6"/>
        </w:rPr>
        <w:t>振兴补助资金预算指标，该项指标列2025年政府</w:t>
      </w:r>
      <w:r>
        <w:rPr>
          <w:spacing w:val="-7"/>
        </w:rPr>
        <w:t>收支分类</w:t>
      </w:r>
      <w:r>
        <w:rPr/>
        <w:t xml:space="preserve"> </w:t>
      </w:r>
      <w:r>
        <w:rPr>
          <w:spacing w:val="-13"/>
        </w:rPr>
        <w:t>科目“1100313农林水”科目。支出列“21305”相应科目，</w:t>
      </w:r>
      <w:r>
        <w:rPr>
          <w:spacing w:val="10"/>
        </w:rPr>
        <w:t xml:space="preserve"> </w:t>
      </w:r>
      <w:r>
        <w:rPr>
          <w:spacing w:val="-19"/>
        </w:rPr>
        <w:t>各相关单位请按以上文件要求执行。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pStyle w:val="BodyText"/>
        <w:ind w:left="2719" w:right="1077" w:hanging="1300"/>
        <w:spacing w:before="114" w:line="329" w:lineRule="auto"/>
        <w:rPr/>
      </w:pPr>
      <w:r>
        <w:rPr>
          <w:spacing w:val="-3"/>
        </w:rPr>
        <w:t>附件：1.锡林郭勒盟财政局关于下达2025年自治区财</w:t>
      </w:r>
      <w:r>
        <w:rPr>
          <w:spacing w:val="5"/>
        </w:rPr>
        <w:t xml:space="preserve"> </w:t>
      </w:r>
      <w:r>
        <w:rPr/>
        <w:t>政衔接推进乡村振兴补助资金预算的通知(锡</w:t>
      </w:r>
      <w:r>
        <w:rPr>
          <w:spacing w:val="6"/>
        </w:rPr>
        <w:t xml:space="preserve"> </w:t>
      </w:r>
      <w:r>
        <w:rPr>
          <w:spacing w:val="11"/>
        </w:rPr>
        <w:t>财农〔2025〕70号)</w:t>
      </w:r>
    </w:p>
    <w:p>
      <w:pPr>
        <w:pStyle w:val="BodyText"/>
        <w:ind w:left="2719" w:right="1243" w:hanging="349"/>
        <w:spacing w:before="20" w:line="308" w:lineRule="auto"/>
        <w:rPr/>
      </w:pPr>
      <w:r>
        <w:rPr/>
        <w:t>2.2025年自治区财政衔接推进乡村振兴补助资</w:t>
      </w:r>
      <w:r>
        <w:rPr>
          <w:spacing w:val="15"/>
        </w:rPr>
        <w:t xml:space="preserve"> </w:t>
      </w:r>
      <w:r>
        <w:rPr>
          <w:spacing w:val="-4"/>
        </w:rPr>
        <w:t>金分配情况表</w:t>
      </w:r>
    </w:p>
    <w:p>
      <w:pPr>
        <w:ind w:firstLine="89"/>
        <w:spacing w:before="82" w:line="61" w:lineRule="exact"/>
        <w:rPr/>
      </w:pPr>
      <w:r>
        <w:rPr>
          <w:position w:val="-1"/>
        </w:rPr>
        <w:drawing>
          <wp:inline distT="0" distB="0" distL="0" distR="0">
            <wp:extent cx="6445241" cy="38174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45241" cy="38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firstLine="9109"/>
        <w:spacing w:line="590" w:lineRule="exact"/>
        <w:rPr/>
      </w:pPr>
      <w:r>
        <w:rPr>
          <w:position w:val="-11"/>
        </w:rPr>
        <w:drawing>
          <wp:inline distT="0" distB="0" distL="0" distR="0">
            <wp:extent cx="965191" cy="374589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65191" cy="374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0" w:lineRule="exact"/>
        <w:sectPr>
          <w:footerReference w:type="default" r:id="rId1"/>
          <w:pgSz w:w="11900" w:h="16840"/>
          <w:pgMar w:top="1159" w:right="190" w:bottom="1" w:left="1080" w:header="0" w:footer="0" w:gutter="0"/>
        </w:sectPr>
        <w:rPr/>
      </w:pPr>
    </w:p>
    <w:p>
      <w:pPr>
        <w:ind w:left="933"/>
        <w:spacing w:before="45" w:line="21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b/>
          <w:bCs/>
          <w:spacing w:val="-4"/>
        </w:rPr>
        <w:t>附件二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1350"/>
        <w:spacing w:before="104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"/>
        </w:rPr>
        <w:t>西乌旗下达2025年自治区财政衔接推进乡村振兴补助资金分配表</w:t>
      </w:r>
    </w:p>
    <w:p>
      <w:pPr>
        <w:spacing w:line="375" w:lineRule="auto"/>
        <w:rPr>
          <w:rFonts w:ascii="Arial"/>
          <w:sz w:val="21"/>
        </w:rPr>
      </w:pPr>
      <w:r/>
    </w:p>
    <w:p>
      <w:pPr>
        <w:ind w:left="9529"/>
        <w:spacing w:before="71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</w:rPr>
        <w:t>单位：万元</w:t>
      </w:r>
    </w:p>
    <w:p>
      <w:pPr>
        <w:spacing w:line="63" w:lineRule="exact"/>
        <w:rPr/>
      </w:pPr>
      <w:r/>
    </w:p>
    <w:tbl>
      <w:tblPr>
        <w:tblStyle w:val="TableNormal"/>
        <w:tblW w:w="9560" w:type="dxa"/>
        <w:tblInd w:w="101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632"/>
        <w:gridCol w:w="2927"/>
        <w:gridCol w:w="4001"/>
      </w:tblGrid>
      <w:tr>
        <w:trPr>
          <w:trHeight w:val="1141" w:hRule="atLeast"/>
        </w:trPr>
        <w:tc>
          <w:tcPr>
            <w:tcW w:w="2632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left="1025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单位</w:t>
            </w:r>
          </w:p>
        </w:tc>
        <w:tc>
          <w:tcPr>
            <w:tcW w:w="2927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1173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科</w:t>
            </w:r>
            <w:r>
              <w:rPr>
                <w:rFonts w:ascii="SimSun" w:hAnsi="SimSun" w:eastAsia="SimSun" w:cs="SimSun"/>
                <w:sz w:val="28"/>
                <w:szCs w:val="2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目</w:t>
            </w:r>
          </w:p>
        </w:tc>
        <w:tc>
          <w:tcPr>
            <w:tcW w:w="4001" w:type="dxa"/>
            <w:vAlign w:val="top"/>
          </w:tcPr>
          <w:p>
            <w:pPr>
              <w:ind w:left="105" w:right="43"/>
              <w:spacing w:before="294" w:line="22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衔接推进乡村振兴补助资金(支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持农村牧区供水保障工程建设)</w:t>
            </w:r>
          </w:p>
        </w:tc>
      </w:tr>
      <w:tr>
        <w:trPr>
          <w:trHeight w:val="1116" w:hRule="atLeast"/>
        </w:trPr>
        <w:tc>
          <w:tcPr>
            <w:tcW w:w="2632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ind w:left="884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</w:rPr>
              <w:t>水利局</w:t>
            </w:r>
          </w:p>
        </w:tc>
        <w:tc>
          <w:tcPr>
            <w:tcW w:w="2927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  <w:r/>
          </w:p>
          <w:p>
            <w:pPr>
              <w:ind w:left="963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2130504</w:t>
            </w:r>
          </w:p>
        </w:tc>
        <w:tc>
          <w:tcPr>
            <w:tcW w:w="4001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ind w:left="1786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570</w:t>
            </w:r>
          </w:p>
        </w:tc>
      </w:tr>
      <w:tr>
        <w:trPr>
          <w:trHeight w:val="1102" w:hRule="atLeast"/>
        </w:trPr>
        <w:tc>
          <w:tcPr>
            <w:tcW w:w="5559" w:type="dxa"/>
            <w:vAlign w:val="top"/>
            <w:gridSpan w:val="2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ind w:left="2555"/>
              <w:spacing w:before="91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合计</w:t>
            </w:r>
          </w:p>
        </w:tc>
        <w:tc>
          <w:tcPr>
            <w:tcW w:w="4001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ind w:left="1786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570</w:t>
            </w:r>
          </w:p>
        </w:tc>
      </w:tr>
    </w:tbl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130" w:lineRule="exact"/>
        <w:rPr/>
      </w:pPr>
      <w:r>
        <w:rPr>
          <w:position w:val="-42"/>
        </w:rPr>
        <w:drawing>
          <wp:inline distT="0" distB="0" distL="0" distR="0">
            <wp:extent cx="1333495" cy="1352501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33495" cy="1352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0199"/>
        <w:spacing w:line="590" w:lineRule="exact"/>
        <w:rPr/>
      </w:pPr>
      <w:r>
        <w:rPr>
          <w:position w:val="-11"/>
        </w:rPr>
        <w:drawing>
          <wp:inline distT="0" distB="0" distL="0" distR="0">
            <wp:extent cx="965191" cy="374655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65191" cy="37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40"/>
      <w:pgMar w:top="869" w:right="180" w:bottom="159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5"/>
      <w:szCs w:val="3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jpeg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2025-01-24T16:58:16Z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2025-01-24T16:58:16</vt:filetime>
  </property>
  <property fmtid="{D5CDD505-2E9C-101B-9397-08002B2CF9AE}" pid="4" name="UsrData">
    <vt:lpwstr>67935625182be6001f2927acwl</vt:lpwstr>
  </property>
</Properties>
</file>